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C3A1E5" w14:paraId="33566E15" wp14:textId="4A66854E">
      <w:p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US"/>
        </w:rPr>
      </w:pPr>
      <w:bookmarkStart w:name="_GoBack" w:id="0"/>
      <w:bookmarkEnd w:id="0"/>
      <w:r w:rsidRPr="60C3A1E5" w:rsidR="7B6A8524">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US"/>
        </w:rPr>
        <w:t xml:space="preserve">Use of Mobile Apps in </w:t>
      </w:r>
      <w:proofErr w:type="spellStart"/>
      <w:r w:rsidRPr="60C3A1E5" w:rsidR="7B6A8524">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US"/>
        </w:rPr>
        <w:t>Haemovigilance</w:t>
      </w:r>
      <w:proofErr w:type="spellEnd"/>
      <w:r w:rsidRPr="60C3A1E5" w:rsidR="7B6A8524">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US"/>
        </w:rPr>
        <w:t xml:space="preserve"> Safety Surveillance</w:t>
      </w:r>
    </w:p>
    <w:p xmlns:wp14="http://schemas.microsoft.com/office/word/2010/wordml" w:rsidP="60C3A1E5" w14:paraId="5AB9C544" wp14:textId="5F232EAC">
      <w:pPr>
        <w:spacing w:after="160" w:line="257" w:lineRule="auto"/>
      </w:pPr>
      <w:r w:rsidRPr="60C3A1E5" w:rsidR="7B6A85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increase in use of smartphones and other mobile devices has presented an opportunity for National Regulatory Authorities (NRAs) and </w:t>
      </w:r>
      <w:proofErr w:type="spellStart"/>
      <w:r w:rsidRPr="60C3A1E5" w:rsidR="7B6A85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Haemovigilance</w:t>
      </w:r>
      <w:proofErr w:type="spellEnd"/>
      <w:r w:rsidRPr="60C3A1E5" w:rsidR="7B6A85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spellStart"/>
      <w:r w:rsidRPr="60C3A1E5" w:rsidR="7B6A85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Centres</w:t>
      </w:r>
      <w:proofErr w:type="spellEnd"/>
      <w:r w:rsidRPr="60C3A1E5" w:rsidR="7B6A85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collect safety reports directly from healthcare professionals and the public.  Web-based forms and mobile devices offer a platform for developing real-time </w:t>
      </w:r>
      <w:proofErr w:type="spellStart"/>
      <w:r w:rsidRPr="60C3A1E5" w:rsidR="7B6A85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haemovigilance</w:t>
      </w:r>
      <w:proofErr w:type="spellEnd"/>
      <w:r w:rsidRPr="60C3A1E5" w:rsidR="7B6A85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systems that can enable near-instantaneous transmission of patient safety information at the point of need, and potentially improve health outcomes. </w:t>
      </w:r>
    </w:p>
    <w:p xmlns:wp14="http://schemas.microsoft.com/office/word/2010/wordml" w:rsidP="60C3A1E5" w14:paraId="34FCD541" wp14:textId="51238499">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number of NRAs and pharmacovigilance </w:t>
      </w:r>
      <w:proofErr w:type="spellStart"/>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centres</w:t>
      </w:r>
      <w:proofErr w:type="spellEnd"/>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Africa, and in Europe</w:t>
      </w:r>
      <w:r w:rsidRPr="60C3A1E5" w:rsidR="44DE7E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have started using mobile applications to collect adverse drug reactions for their pharmacovigilance </w:t>
      </w:r>
      <w:proofErr w:type="spellStart"/>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programmes</w:t>
      </w:r>
      <w:proofErr w:type="spellEnd"/>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Current or in-use mobile apps were designed to facilitate instantaneous reporting of suspected adverse reactions directly to NRAs by healthcare professionals and the public. They also provide for timely communication of medicine safety information from the NRAs to healthcare professionals and the public. The mobile apps can function without active internet connections, and allow for reports to be partially completed and saved for completion later. Transmission of reports to the NRA or the pharmacovigilance </w:t>
      </w:r>
      <w:proofErr w:type="spellStart"/>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centre</w:t>
      </w:r>
      <w:proofErr w:type="spellEnd"/>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can be made immediately or when the user has better connectivity. For pharmacovigilance</w:t>
      </w:r>
      <w:r w:rsidRPr="60C3A1E5" w:rsidR="5BA04F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mobile apps have been integrated to the global medicine safety database </w:t>
      </w:r>
      <w:proofErr w:type="spellStart"/>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VigiBase</w:t>
      </w:r>
      <w:proofErr w:type="spellEnd"/>
      <w:r w:rsidRPr="60C3A1E5"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ease of transmission of country reports to the global medicine database. </w:t>
      </w:r>
    </w:p>
    <w:p xmlns:wp14="http://schemas.microsoft.com/office/word/2010/wordml" w:rsidP="60C3A1E5" w14:paraId="1594074C" wp14:textId="7D6AE480">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B14A4F"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These same mobile apps can be customized to include </w:t>
      </w:r>
      <w:r w:rsidRPr="37B14A4F"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haemovigilance</w:t>
      </w:r>
      <w:r w:rsidRPr="37B14A4F" w:rsidR="4BB8EC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reporting for countries that already have access to this platform. Mobile apps can be used to allow for easy and fast reporting of adverse reactions and adverse events from use of blood products.  </w:t>
      </w:r>
    </w:p>
    <w:p xmlns:wp14="http://schemas.microsoft.com/office/word/2010/wordml" w:rsidP="37B14A4F" w14:paraId="08724E08" wp14:textId="5E71EEB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B14A4F" w:rsidR="593A4A4D">
        <w:rPr>
          <w:rFonts w:ascii="Times New Roman" w:hAnsi="Times New Roman" w:eastAsia="Times New Roman" w:cs="Times New Roman"/>
          <w:b w:val="0"/>
          <w:bCs w:val="0"/>
          <w:i w:val="0"/>
          <w:iCs w:val="0"/>
          <w:caps w:val="0"/>
          <w:smallCaps w:val="0"/>
          <w:noProof w:val="0"/>
          <w:color w:val="333333"/>
          <w:sz w:val="24"/>
          <w:szCs w:val="24"/>
          <w:lang w:val="en-GB"/>
        </w:rPr>
        <w:t>‘</w:t>
      </w:r>
      <w:r w:rsidRPr="37B14A4F" w:rsidR="593A4A4D">
        <w:rPr>
          <w:rFonts w:ascii="Times New Roman" w:hAnsi="Times New Roman" w:eastAsia="Times New Roman" w:cs="Times New Roman"/>
          <w:b w:val="0"/>
          <w:bCs w:val="0"/>
          <w:i w:val="1"/>
          <w:iCs w:val="1"/>
          <w:caps w:val="0"/>
          <w:smallCaps w:val="0"/>
          <w:noProof w:val="0"/>
          <w:color w:val="333333"/>
          <w:sz w:val="24"/>
          <w:szCs w:val="24"/>
          <w:lang w:val="en-GB"/>
        </w:rPr>
        <w:t>Recommendations on the Use of Mobile Applications for the Collection and Communication of Pharmaceutical Product Safety Information: Lessons from IMI WEB-RADR’</w:t>
      </w:r>
      <w:r w:rsidRPr="37B14A4F" w:rsidR="593A4A4D">
        <w:rPr>
          <w:rFonts w:ascii="Times New Roman" w:hAnsi="Times New Roman" w:eastAsia="Times New Roman" w:cs="Times New Roman"/>
          <w:b w:val="0"/>
          <w:bCs w:val="0"/>
          <w:i w:val="0"/>
          <w:iCs w:val="0"/>
          <w:caps w:val="0"/>
          <w:smallCaps w:val="0"/>
          <w:noProof w:val="0"/>
          <w:color w:val="333333"/>
          <w:sz w:val="24"/>
          <w:szCs w:val="24"/>
          <w:lang w:val="en-GB"/>
        </w:rPr>
        <w:t xml:space="preserve">. </w:t>
      </w:r>
      <w:hyperlink r:id="R219cdd7859184cfe">
        <w:r w:rsidRPr="37B14A4F" w:rsidR="593A4A4D">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https://link-springer-com.proxy.library.uu.nl/article/10.1007/s40264-019-00813-6</w:t>
        </w:r>
      </w:hyperlink>
    </w:p>
    <w:p xmlns:wp14="http://schemas.microsoft.com/office/word/2010/wordml" w:rsidP="60C3A1E5" w14:paraId="2C078E63" wp14:textId="430B4F0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BB72"/>
    <w:rsid w:val="00E5BB72"/>
    <w:rsid w:val="37B14A4F"/>
    <w:rsid w:val="44DE7E24"/>
    <w:rsid w:val="4BB8EC38"/>
    <w:rsid w:val="593A4A4D"/>
    <w:rsid w:val="5BA04FA7"/>
    <w:rsid w:val="5CFBF22C"/>
    <w:rsid w:val="60C3A1E5"/>
    <w:rsid w:val="7B6A8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BB72"/>
  <w15:chartTrackingRefBased/>
  <w15:docId w15:val="{3677E1E7-D0E8-47D7-96DC-03956FD897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link-springer-com.proxy.library.uu.nl/article/10.1007/s40264-019-00813-6" TargetMode="External" Id="R219cdd7859184c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2021-07-09T18:07:08.6341283Z</dcterms:created>
  <dcterms:modified xsi:type="dcterms:W3CDTF">2021-07-09T20:20:22.2415743Z</dcterms:modified>
  <dc:creator>Whitaker, Barbee</dc:creator>
  <lastModifiedBy>Whitaker, Barbee</lastModifiedBy>
</coreProperties>
</file>